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5CCC3" w14:textId="023CE1F5" w:rsidR="00324593" w:rsidRDefault="00324593" w:rsidP="00324593">
      <w:pPr>
        <w:jc w:val="center"/>
      </w:pPr>
      <w:r>
        <w:t>Pavilion Information</w:t>
      </w:r>
    </w:p>
    <w:p w14:paraId="19318120" w14:textId="1B335F07" w:rsidR="00324593" w:rsidRDefault="00324593" w:rsidP="00324593">
      <w:pPr>
        <w:spacing w:after="0"/>
      </w:pPr>
      <w:r>
        <w:t>Carencro Parks are maintained as areas of recreation and enjoyment for all citizens of Carencro.  Carencro Parks and Recreation offers various pavilions and parks that can be reserved for special events like birthday parties, family gatherings or corporate functions.</w:t>
      </w:r>
    </w:p>
    <w:p w14:paraId="0E868AFC" w14:textId="77777777" w:rsidR="00324593" w:rsidRDefault="00324593" w:rsidP="00324593">
      <w:pPr>
        <w:spacing w:after="0"/>
      </w:pPr>
    </w:p>
    <w:p w14:paraId="2A6EF9EA" w14:textId="1B18905E" w:rsidR="00324593" w:rsidRDefault="00324593" w:rsidP="00324593">
      <w:pPr>
        <w:spacing w:after="0"/>
      </w:pPr>
      <w:r>
        <w:t xml:space="preserve">Rental hours for a pavilion are 8 am to sunset, unless otherwise posted or approved on permit.  Rental fees are based on a </w:t>
      </w:r>
      <w:proofErr w:type="gramStart"/>
      <w:r>
        <w:t>4 hour</w:t>
      </w:r>
      <w:proofErr w:type="gramEnd"/>
      <w:r>
        <w:t xml:space="preserve"> period and then </w:t>
      </w:r>
      <w:proofErr w:type="gramStart"/>
      <w:r>
        <w:t>by</w:t>
      </w:r>
      <w:proofErr w:type="gramEnd"/>
      <w:r>
        <w:t xml:space="preserve"> the hour thereafter.  Use of the pavilion is guaranteed for the period specified in the permit only.  Event set up and clean up time is included in the rental period.  Please take your permit and receipt with you to the park.</w:t>
      </w:r>
    </w:p>
    <w:p w14:paraId="49C9F8B5" w14:textId="77777777" w:rsidR="00324593" w:rsidRDefault="00324593" w:rsidP="00324593">
      <w:pPr>
        <w:spacing w:after="0"/>
      </w:pPr>
    </w:p>
    <w:p w14:paraId="797EDA94" w14:textId="49EBB1E0" w:rsidR="00324593" w:rsidRDefault="00324593" w:rsidP="00324593">
      <w:pPr>
        <w:pStyle w:val="ListParagraph"/>
        <w:numPr>
          <w:ilvl w:val="0"/>
          <w:numId w:val="1"/>
        </w:numPr>
        <w:spacing w:after="0"/>
      </w:pPr>
      <w:r>
        <w:t xml:space="preserve">All renters must be at least 21 years </w:t>
      </w:r>
      <w:proofErr w:type="gramStart"/>
      <w:r>
        <w:t>old</w:t>
      </w:r>
      <w:proofErr w:type="gramEnd"/>
    </w:p>
    <w:p w14:paraId="4DC032F4" w14:textId="466B1B3F" w:rsidR="00324593" w:rsidRDefault="00324593" w:rsidP="00324593">
      <w:pPr>
        <w:pStyle w:val="ListParagraph"/>
        <w:numPr>
          <w:ilvl w:val="0"/>
          <w:numId w:val="1"/>
        </w:numPr>
        <w:spacing w:after="0"/>
      </w:pPr>
      <w:r>
        <w:t xml:space="preserve">Each rental </w:t>
      </w:r>
      <w:r w:rsidR="004B3F73">
        <w:t xml:space="preserve">includes one of the following – BBQ Grill, Dry Inflatable or 10 x 10 tent, additional can be added for a $20 fee if </w:t>
      </w:r>
      <w:proofErr w:type="gramStart"/>
      <w:r w:rsidR="004B3F73">
        <w:t>available</w:t>
      </w:r>
      <w:proofErr w:type="gramEnd"/>
    </w:p>
    <w:p w14:paraId="7D1EF301" w14:textId="4DFC5E77" w:rsidR="004B3F73" w:rsidRDefault="004B3F73" w:rsidP="00324593">
      <w:pPr>
        <w:pStyle w:val="ListParagraph"/>
        <w:numPr>
          <w:ilvl w:val="0"/>
          <w:numId w:val="1"/>
        </w:numPr>
        <w:spacing w:after="0"/>
      </w:pPr>
      <w:r>
        <w:t xml:space="preserve">Cooking Apparatuses – One person grill or burner is </w:t>
      </w:r>
      <w:proofErr w:type="gramStart"/>
      <w:r>
        <w:t>admitted</w:t>
      </w:r>
      <w:proofErr w:type="gramEnd"/>
      <w:r>
        <w:t xml:space="preserve"> with this permit.  </w:t>
      </w:r>
      <w:proofErr w:type="gramStart"/>
      <w:r>
        <w:t>Table top</w:t>
      </w:r>
      <w:proofErr w:type="gramEnd"/>
      <w:r>
        <w:t xml:space="preserve"> grill or burner are not allowed on picnic tables, benches or bleachers.  All charcoal from grills, grease from fryers and water with added chemicals or seasoning such as seafood boils must be removed from the site.  Disposing of charcoal, grease or impure water onto park grounds is </w:t>
      </w:r>
      <w:proofErr w:type="gramStart"/>
      <w:r>
        <w:t>prohibited</w:t>
      </w:r>
      <w:proofErr w:type="gramEnd"/>
    </w:p>
    <w:p w14:paraId="34B1C312" w14:textId="35D9C17B" w:rsidR="004B3F73" w:rsidRDefault="004B3F73" w:rsidP="00324593">
      <w:pPr>
        <w:pStyle w:val="ListParagraph"/>
        <w:numPr>
          <w:ilvl w:val="0"/>
          <w:numId w:val="1"/>
        </w:numPr>
        <w:spacing w:after="0"/>
      </w:pPr>
      <w:r>
        <w:t xml:space="preserve">Canopies / tents are limited to one per activity space and no larger than 10’ x 10’.  Canopies / tents are allowed in areas that do not interfere with the opportunity of enjoyment of others in the </w:t>
      </w:r>
      <w:proofErr w:type="gramStart"/>
      <w:r>
        <w:t>park</w:t>
      </w:r>
      <w:proofErr w:type="gramEnd"/>
    </w:p>
    <w:p w14:paraId="1C9A1AB4" w14:textId="500A293A" w:rsidR="004B3F73" w:rsidRDefault="004B3F73" w:rsidP="004B3F73">
      <w:pPr>
        <w:pStyle w:val="ListParagraph"/>
        <w:numPr>
          <w:ilvl w:val="0"/>
          <w:numId w:val="1"/>
        </w:numPr>
        <w:spacing w:after="0"/>
      </w:pPr>
      <w:r>
        <w:t>Inflatable Rentals must have insurance certificate delivered to Carencro Parks and Recreation a week before (Carencro Parks and Recreation have a list of Rental Companies that already have the insurance on file)</w:t>
      </w:r>
    </w:p>
    <w:p w14:paraId="7966A976" w14:textId="5EE7776C" w:rsidR="00324593" w:rsidRDefault="00324593" w:rsidP="00324593">
      <w:pPr>
        <w:pStyle w:val="ListParagraph"/>
        <w:numPr>
          <w:ilvl w:val="0"/>
          <w:numId w:val="1"/>
        </w:numPr>
        <w:spacing w:after="0"/>
      </w:pPr>
      <w:r>
        <w:t xml:space="preserve">Rental Permits and Receipts must be kept on site at all </w:t>
      </w:r>
      <w:proofErr w:type="gramStart"/>
      <w:r>
        <w:t>times</w:t>
      </w:r>
      <w:proofErr w:type="gramEnd"/>
    </w:p>
    <w:p w14:paraId="738C3E71" w14:textId="6F689DBE" w:rsidR="00324593" w:rsidRDefault="00324593" w:rsidP="00324593">
      <w:pPr>
        <w:pStyle w:val="ListParagraph"/>
        <w:numPr>
          <w:ilvl w:val="0"/>
          <w:numId w:val="1"/>
        </w:numPr>
        <w:spacing w:after="0"/>
      </w:pPr>
      <w:r>
        <w:t xml:space="preserve">A REFUNDABLE DEPOSIT is required for each </w:t>
      </w:r>
      <w:proofErr w:type="gramStart"/>
      <w:r>
        <w:t>rental</w:t>
      </w:r>
      <w:proofErr w:type="gramEnd"/>
    </w:p>
    <w:p w14:paraId="76967A81" w14:textId="5131F9C4" w:rsidR="00324593" w:rsidRDefault="00324593" w:rsidP="00324593">
      <w:pPr>
        <w:pStyle w:val="ListParagraph"/>
        <w:numPr>
          <w:ilvl w:val="0"/>
          <w:numId w:val="1"/>
        </w:numPr>
        <w:spacing w:after="0"/>
      </w:pPr>
      <w:r>
        <w:t>Call    to reserve</w:t>
      </w:r>
      <w:r w:rsidR="005541EE">
        <w:t xml:space="preserve"> your spot </w:t>
      </w:r>
      <w:proofErr w:type="gramStart"/>
      <w:r w:rsidR="005541EE">
        <w:t>today</w:t>
      </w:r>
      <w:proofErr w:type="gramEnd"/>
    </w:p>
    <w:p w14:paraId="28713EBE" w14:textId="77777777" w:rsidR="005541EE" w:rsidRDefault="005541EE" w:rsidP="005541EE">
      <w:pPr>
        <w:spacing w:after="0"/>
      </w:pPr>
    </w:p>
    <w:p w14:paraId="49D8695E" w14:textId="0E4F196A" w:rsidR="005541EE" w:rsidRDefault="005541EE">
      <w:r>
        <w:br w:type="page"/>
      </w:r>
    </w:p>
    <w:tbl>
      <w:tblPr>
        <w:tblStyle w:val="TableGrid"/>
        <w:tblW w:w="0" w:type="auto"/>
        <w:tblLook w:val="04A0" w:firstRow="1" w:lastRow="0" w:firstColumn="1" w:lastColumn="0" w:noHBand="0" w:noVBand="1"/>
      </w:tblPr>
      <w:tblGrid>
        <w:gridCol w:w="1450"/>
        <w:gridCol w:w="1025"/>
        <w:gridCol w:w="891"/>
        <w:gridCol w:w="1140"/>
        <w:gridCol w:w="1249"/>
        <w:gridCol w:w="883"/>
        <w:gridCol w:w="703"/>
        <w:gridCol w:w="1199"/>
        <w:gridCol w:w="780"/>
      </w:tblGrid>
      <w:tr w:rsidR="00063D15" w14:paraId="3602903F" w14:textId="77777777" w:rsidTr="00063D15">
        <w:tc>
          <w:tcPr>
            <w:tcW w:w="1119" w:type="dxa"/>
          </w:tcPr>
          <w:p w14:paraId="2B335C06" w14:textId="787F0F37" w:rsidR="00063D15" w:rsidRDefault="00063D15" w:rsidP="005541EE">
            <w:r>
              <w:lastRenderedPageBreak/>
              <w:t>Location</w:t>
            </w:r>
          </w:p>
        </w:tc>
        <w:tc>
          <w:tcPr>
            <w:tcW w:w="1025" w:type="dxa"/>
          </w:tcPr>
          <w:p w14:paraId="7AC54DA1" w14:textId="77777777" w:rsidR="00063D15" w:rsidRDefault="00063D15" w:rsidP="005541EE">
            <w:r>
              <w:t>Pavilion</w:t>
            </w:r>
          </w:p>
          <w:p w14:paraId="6C5E0BDF" w14:textId="65EA8B31" w:rsidR="00063D15" w:rsidRDefault="00063D15" w:rsidP="005541EE">
            <w:r>
              <w:t>Size</w:t>
            </w:r>
          </w:p>
        </w:tc>
        <w:tc>
          <w:tcPr>
            <w:tcW w:w="891" w:type="dxa"/>
          </w:tcPr>
          <w:p w14:paraId="6EFA64F7" w14:textId="713F8717" w:rsidR="00063D15" w:rsidRDefault="00063D15" w:rsidP="005541EE">
            <w:r>
              <w:t>No of Tables</w:t>
            </w:r>
          </w:p>
        </w:tc>
        <w:tc>
          <w:tcPr>
            <w:tcW w:w="1140" w:type="dxa"/>
          </w:tcPr>
          <w:p w14:paraId="17005AC8" w14:textId="2687069C" w:rsidR="00063D15" w:rsidRDefault="00063D15" w:rsidP="005541EE">
            <w:r>
              <w:t>Capacity</w:t>
            </w:r>
          </w:p>
        </w:tc>
        <w:tc>
          <w:tcPr>
            <w:tcW w:w="1249" w:type="dxa"/>
          </w:tcPr>
          <w:p w14:paraId="03A778A9" w14:textId="5A5A7BB8" w:rsidR="00063D15" w:rsidRDefault="00063D15" w:rsidP="005541EE">
            <w:r>
              <w:t>Electricity</w:t>
            </w:r>
          </w:p>
        </w:tc>
        <w:tc>
          <w:tcPr>
            <w:tcW w:w="883" w:type="dxa"/>
          </w:tcPr>
          <w:p w14:paraId="4ACCA23E" w14:textId="2F3BDAF9" w:rsidR="00063D15" w:rsidRDefault="00063D15" w:rsidP="005541EE">
            <w:r>
              <w:t>Water Spigot</w:t>
            </w:r>
          </w:p>
        </w:tc>
        <w:tc>
          <w:tcPr>
            <w:tcW w:w="703" w:type="dxa"/>
          </w:tcPr>
          <w:p w14:paraId="2778FCDE" w14:textId="037252C0" w:rsidR="00063D15" w:rsidRDefault="00063D15" w:rsidP="005541EE">
            <w:r>
              <w:t>On Site Grill</w:t>
            </w:r>
          </w:p>
        </w:tc>
        <w:tc>
          <w:tcPr>
            <w:tcW w:w="1199" w:type="dxa"/>
          </w:tcPr>
          <w:p w14:paraId="67898A0B" w14:textId="25D7D886" w:rsidR="00063D15" w:rsidRDefault="00063D15" w:rsidP="005541EE">
            <w:r>
              <w:t>Space for Inflatable</w:t>
            </w:r>
          </w:p>
        </w:tc>
        <w:tc>
          <w:tcPr>
            <w:tcW w:w="780" w:type="dxa"/>
          </w:tcPr>
          <w:p w14:paraId="2281A715" w14:textId="6CC18447" w:rsidR="00063D15" w:rsidRDefault="00063D15" w:rsidP="005541EE">
            <w:r>
              <w:t>Price</w:t>
            </w:r>
          </w:p>
        </w:tc>
      </w:tr>
      <w:tr w:rsidR="00063D15" w14:paraId="61A0182D" w14:textId="77777777" w:rsidTr="00063D15">
        <w:tc>
          <w:tcPr>
            <w:tcW w:w="1119" w:type="dxa"/>
          </w:tcPr>
          <w:p w14:paraId="1B6482FA" w14:textId="5372C2C0" w:rsidR="00063D15" w:rsidRDefault="00953E75" w:rsidP="005541EE">
            <w:r>
              <w:t>City Hall</w:t>
            </w:r>
          </w:p>
        </w:tc>
        <w:tc>
          <w:tcPr>
            <w:tcW w:w="1025" w:type="dxa"/>
          </w:tcPr>
          <w:p w14:paraId="7A016C3C" w14:textId="77777777" w:rsidR="00063D15" w:rsidRDefault="00063D15" w:rsidP="00953E75">
            <w:pPr>
              <w:jc w:val="center"/>
            </w:pPr>
          </w:p>
        </w:tc>
        <w:tc>
          <w:tcPr>
            <w:tcW w:w="891" w:type="dxa"/>
          </w:tcPr>
          <w:p w14:paraId="23A23B93" w14:textId="77777777" w:rsidR="00063D15" w:rsidRDefault="00063D15" w:rsidP="00953E75">
            <w:pPr>
              <w:jc w:val="center"/>
            </w:pPr>
          </w:p>
        </w:tc>
        <w:tc>
          <w:tcPr>
            <w:tcW w:w="1140" w:type="dxa"/>
          </w:tcPr>
          <w:p w14:paraId="21D440F5" w14:textId="77777777" w:rsidR="00063D15" w:rsidRDefault="00063D15" w:rsidP="00953E75">
            <w:pPr>
              <w:jc w:val="center"/>
            </w:pPr>
          </w:p>
        </w:tc>
        <w:tc>
          <w:tcPr>
            <w:tcW w:w="1249" w:type="dxa"/>
          </w:tcPr>
          <w:p w14:paraId="66CCC693" w14:textId="30435F6C" w:rsidR="00063D15" w:rsidRDefault="00953E75" w:rsidP="00953E75">
            <w:pPr>
              <w:jc w:val="center"/>
            </w:pPr>
            <w:r>
              <w:t>Yes</w:t>
            </w:r>
          </w:p>
        </w:tc>
        <w:tc>
          <w:tcPr>
            <w:tcW w:w="883" w:type="dxa"/>
          </w:tcPr>
          <w:p w14:paraId="58EAF1DB" w14:textId="77777777" w:rsidR="00063D15" w:rsidRDefault="00063D15" w:rsidP="00953E75">
            <w:pPr>
              <w:jc w:val="center"/>
            </w:pPr>
          </w:p>
        </w:tc>
        <w:tc>
          <w:tcPr>
            <w:tcW w:w="703" w:type="dxa"/>
          </w:tcPr>
          <w:p w14:paraId="484D5372" w14:textId="77777777" w:rsidR="00063D15" w:rsidRDefault="00063D15" w:rsidP="00953E75">
            <w:pPr>
              <w:jc w:val="center"/>
            </w:pPr>
          </w:p>
        </w:tc>
        <w:tc>
          <w:tcPr>
            <w:tcW w:w="1199" w:type="dxa"/>
          </w:tcPr>
          <w:p w14:paraId="5987240A" w14:textId="456F2B1C" w:rsidR="00063D15" w:rsidRDefault="00A82823" w:rsidP="00953E75">
            <w:pPr>
              <w:jc w:val="center"/>
            </w:pPr>
            <w:r>
              <w:t>Yes</w:t>
            </w:r>
          </w:p>
        </w:tc>
        <w:tc>
          <w:tcPr>
            <w:tcW w:w="780" w:type="dxa"/>
          </w:tcPr>
          <w:p w14:paraId="307E757E" w14:textId="5EB0792F" w:rsidR="00063D15" w:rsidRDefault="00A82823" w:rsidP="00953E75">
            <w:pPr>
              <w:jc w:val="center"/>
            </w:pPr>
            <w:r>
              <w:t>$100</w:t>
            </w:r>
          </w:p>
        </w:tc>
      </w:tr>
      <w:tr w:rsidR="00063D15" w14:paraId="1D922D10" w14:textId="77777777" w:rsidTr="00063D15">
        <w:tc>
          <w:tcPr>
            <w:tcW w:w="1119" w:type="dxa"/>
          </w:tcPr>
          <w:p w14:paraId="55CC6CA9" w14:textId="3F60A081" w:rsidR="00063D15" w:rsidRDefault="00953E75" w:rsidP="005541EE">
            <w:r>
              <w:t>Mercredi Stage</w:t>
            </w:r>
          </w:p>
        </w:tc>
        <w:tc>
          <w:tcPr>
            <w:tcW w:w="1025" w:type="dxa"/>
          </w:tcPr>
          <w:p w14:paraId="1E7161F8" w14:textId="77777777" w:rsidR="00063D15" w:rsidRDefault="00063D15" w:rsidP="00953E75">
            <w:pPr>
              <w:jc w:val="center"/>
            </w:pPr>
          </w:p>
        </w:tc>
        <w:tc>
          <w:tcPr>
            <w:tcW w:w="891" w:type="dxa"/>
          </w:tcPr>
          <w:p w14:paraId="7EC82103" w14:textId="77777777" w:rsidR="00063D15" w:rsidRDefault="00063D15" w:rsidP="00953E75">
            <w:pPr>
              <w:jc w:val="center"/>
            </w:pPr>
          </w:p>
        </w:tc>
        <w:tc>
          <w:tcPr>
            <w:tcW w:w="1140" w:type="dxa"/>
          </w:tcPr>
          <w:p w14:paraId="5EA75996" w14:textId="77777777" w:rsidR="00063D15" w:rsidRDefault="00063D15" w:rsidP="00953E75">
            <w:pPr>
              <w:jc w:val="center"/>
            </w:pPr>
          </w:p>
        </w:tc>
        <w:tc>
          <w:tcPr>
            <w:tcW w:w="1249" w:type="dxa"/>
          </w:tcPr>
          <w:p w14:paraId="5524C61A" w14:textId="77777777" w:rsidR="00063D15" w:rsidRDefault="00063D15" w:rsidP="00953E75">
            <w:pPr>
              <w:jc w:val="center"/>
            </w:pPr>
          </w:p>
        </w:tc>
        <w:tc>
          <w:tcPr>
            <w:tcW w:w="883" w:type="dxa"/>
          </w:tcPr>
          <w:p w14:paraId="7ED0C1E3" w14:textId="77777777" w:rsidR="00063D15" w:rsidRDefault="00063D15" w:rsidP="00953E75">
            <w:pPr>
              <w:jc w:val="center"/>
            </w:pPr>
          </w:p>
        </w:tc>
        <w:tc>
          <w:tcPr>
            <w:tcW w:w="703" w:type="dxa"/>
          </w:tcPr>
          <w:p w14:paraId="29AB17A1" w14:textId="77777777" w:rsidR="00063D15" w:rsidRDefault="00063D15" w:rsidP="00953E75">
            <w:pPr>
              <w:jc w:val="center"/>
            </w:pPr>
          </w:p>
        </w:tc>
        <w:tc>
          <w:tcPr>
            <w:tcW w:w="1199" w:type="dxa"/>
          </w:tcPr>
          <w:p w14:paraId="23B64033" w14:textId="0E1FA51E" w:rsidR="00063D15" w:rsidRDefault="00A82823" w:rsidP="00953E75">
            <w:pPr>
              <w:jc w:val="center"/>
            </w:pPr>
            <w:r>
              <w:t>Yes</w:t>
            </w:r>
          </w:p>
        </w:tc>
        <w:tc>
          <w:tcPr>
            <w:tcW w:w="780" w:type="dxa"/>
          </w:tcPr>
          <w:p w14:paraId="21C9ADA9" w14:textId="30CC506A" w:rsidR="00063D15" w:rsidRDefault="00A82823" w:rsidP="00953E75">
            <w:pPr>
              <w:jc w:val="center"/>
            </w:pPr>
            <w:r>
              <w:t>$100</w:t>
            </w:r>
          </w:p>
        </w:tc>
      </w:tr>
      <w:tr w:rsidR="00063D15" w14:paraId="639E11ED" w14:textId="77777777" w:rsidTr="00063D15">
        <w:tc>
          <w:tcPr>
            <w:tcW w:w="1119" w:type="dxa"/>
          </w:tcPr>
          <w:p w14:paraId="0BD78639" w14:textId="36E02FE5" w:rsidR="00063D15" w:rsidRDefault="00A82823" w:rsidP="005541EE">
            <w:r>
              <w:t>Carencro Park #1</w:t>
            </w:r>
          </w:p>
        </w:tc>
        <w:tc>
          <w:tcPr>
            <w:tcW w:w="1025" w:type="dxa"/>
          </w:tcPr>
          <w:p w14:paraId="6644F027" w14:textId="77777777" w:rsidR="00063D15" w:rsidRDefault="00063D15" w:rsidP="00953E75">
            <w:pPr>
              <w:jc w:val="center"/>
            </w:pPr>
          </w:p>
        </w:tc>
        <w:tc>
          <w:tcPr>
            <w:tcW w:w="891" w:type="dxa"/>
          </w:tcPr>
          <w:p w14:paraId="7DBDF1E3" w14:textId="77777777" w:rsidR="00063D15" w:rsidRDefault="00063D15" w:rsidP="00953E75">
            <w:pPr>
              <w:jc w:val="center"/>
            </w:pPr>
          </w:p>
        </w:tc>
        <w:tc>
          <w:tcPr>
            <w:tcW w:w="1140" w:type="dxa"/>
          </w:tcPr>
          <w:p w14:paraId="7AF59CFA" w14:textId="77777777" w:rsidR="00063D15" w:rsidRDefault="00063D15" w:rsidP="00953E75">
            <w:pPr>
              <w:jc w:val="center"/>
            </w:pPr>
          </w:p>
        </w:tc>
        <w:tc>
          <w:tcPr>
            <w:tcW w:w="1249" w:type="dxa"/>
          </w:tcPr>
          <w:p w14:paraId="3B942B6A" w14:textId="77777777" w:rsidR="00063D15" w:rsidRDefault="00063D15" w:rsidP="00953E75">
            <w:pPr>
              <w:jc w:val="center"/>
            </w:pPr>
          </w:p>
        </w:tc>
        <w:tc>
          <w:tcPr>
            <w:tcW w:w="883" w:type="dxa"/>
          </w:tcPr>
          <w:p w14:paraId="3E526071" w14:textId="77777777" w:rsidR="00063D15" w:rsidRDefault="00063D15" w:rsidP="00953E75">
            <w:pPr>
              <w:jc w:val="center"/>
            </w:pPr>
          </w:p>
        </w:tc>
        <w:tc>
          <w:tcPr>
            <w:tcW w:w="703" w:type="dxa"/>
          </w:tcPr>
          <w:p w14:paraId="794AAE35" w14:textId="77777777" w:rsidR="00063D15" w:rsidRDefault="00063D15" w:rsidP="00953E75">
            <w:pPr>
              <w:jc w:val="center"/>
            </w:pPr>
          </w:p>
        </w:tc>
        <w:tc>
          <w:tcPr>
            <w:tcW w:w="1199" w:type="dxa"/>
          </w:tcPr>
          <w:p w14:paraId="410A1B51" w14:textId="77777777" w:rsidR="00063D15" w:rsidRDefault="00063D15" w:rsidP="00953E75">
            <w:pPr>
              <w:jc w:val="center"/>
            </w:pPr>
          </w:p>
        </w:tc>
        <w:tc>
          <w:tcPr>
            <w:tcW w:w="780" w:type="dxa"/>
          </w:tcPr>
          <w:p w14:paraId="3BC6DA34" w14:textId="4B717291" w:rsidR="00063D15" w:rsidRDefault="00A82823" w:rsidP="00953E75">
            <w:pPr>
              <w:jc w:val="center"/>
            </w:pPr>
            <w:r>
              <w:t>$50</w:t>
            </w:r>
          </w:p>
        </w:tc>
      </w:tr>
      <w:tr w:rsidR="00063D15" w14:paraId="1AF647A2" w14:textId="77777777" w:rsidTr="00063D15">
        <w:tc>
          <w:tcPr>
            <w:tcW w:w="1119" w:type="dxa"/>
          </w:tcPr>
          <w:p w14:paraId="42229EA5" w14:textId="1B617DF0" w:rsidR="00063D15" w:rsidRDefault="00A82823" w:rsidP="005541EE">
            <w:r>
              <w:t>Carencro Park #2</w:t>
            </w:r>
          </w:p>
        </w:tc>
        <w:tc>
          <w:tcPr>
            <w:tcW w:w="1025" w:type="dxa"/>
          </w:tcPr>
          <w:p w14:paraId="452CE8D9" w14:textId="77777777" w:rsidR="00063D15" w:rsidRDefault="00063D15" w:rsidP="00953E75">
            <w:pPr>
              <w:jc w:val="center"/>
            </w:pPr>
          </w:p>
        </w:tc>
        <w:tc>
          <w:tcPr>
            <w:tcW w:w="891" w:type="dxa"/>
          </w:tcPr>
          <w:p w14:paraId="66ED9C8E" w14:textId="77777777" w:rsidR="00063D15" w:rsidRDefault="00063D15" w:rsidP="00953E75">
            <w:pPr>
              <w:jc w:val="center"/>
            </w:pPr>
          </w:p>
        </w:tc>
        <w:tc>
          <w:tcPr>
            <w:tcW w:w="1140" w:type="dxa"/>
          </w:tcPr>
          <w:p w14:paraId="449BD79E" w14:textId="77777777" w:rsidR="00063D15" w:rsidRDefault="00063D15" w:rsidP="00953E75">
            <w:pPr>
              <w:jc w:val="center"/>
            </w:pPr>
          </w:p>
        </w:tc>
        <w:tc>
          <w:tcPr>
            <w:tcW w:w="1249" w:type="dxa"/>
          </w:tcPr>
          <w:p w14:paraId="29AB8EAF" w14:textId="77777777" w:rsidR="00063D15" w:rsidRDefault="00063D15" w:rsidP="00953E75">
            <w:pPr>
              <w:jc w:val="center"/>
            </w:pPr>
          </w:p>
        </w:tc>
        <w:tc>
          <w:tcPr>
            <w:tcW w:w="883" w:type="dxa"/>
          </w:tcPr>
          <w:p w14:paraId="358D9196" w14:textId="77777777" w:rsidR="00063D15" w:rsidRDefault="00063D15" w:rsidP="00953E75">
            <w:pPr>
              <w:jc w:val="center"/>
            </w:pPr>
          </w:p>
        </w:tc>
        <w:tc>
          <w:tcPr>
            <w:tcW w:w="703" w:type="dxa"/>
          </w:tcPr>
          <w:p w14:paraId="1317024F" w14:textId="77777777" w:rsidR="00063D15" w:rsidRDefault="00063D15" w:rsidP="00953E75">
            <w:pPr>
              <w:jc w:val="center"/>
            </w:pPr>
          </w:p>
        </w:tc>
        <w:tc>
          <w:tcPr>
            <w:tcW w:w="1199" w:type="dxa"/>
          </w:tcPr>
          <w:p w14:paraId="74C049DE" w14:textId="77777777" w:rsidR="00063D15" w:rsidRDefault="00063D15" w:rsidP="00953E75">
            <w:pPr>
              <w:jc w:val="center"/>
            </w:pPr>
          </w:p>
        </w:tc>
        <w:tc>
          <w:tcPr>
            <w:tcW w:w="780" w:type="dxa"/>
          </w:tcPr>
          <w:p w14:paraId="0FDEBA32" w14:textId="4547738A" w:rsidR="00063D15" w:rsidRDefault="00A82823" w:rsidP="00953E75">
            <w:pPr>
              <w:jc w:val="center"/>
            </w:pPr>
            <w:r>
              <w:t>$50</w:t>
            </w:r>
          </w:p>
        </w:tc>
      </w:tr>
      <w:tr w:rsidR="00063D15" w14:paraId="630A3A05" w14:textId="77777777" w:rsidTr="00063D15">
        <w:tc>
          <w:tcPr>
            <w:tcW w:w="1119" w:type="dxa"/>
          </w:tcPr>
          <w:p w14:paraId="7526D668" w14:textId="0F172194" w:rsidR="00063D15" w:rsidRDefault="00A82823" w:rsidP="005541EE">
            <w:r>
              <w:t>Carencro Park Concession Area</w:t>
            </w:r>
          </w:p>
        </w:tc>
        <w:tc>
          <w:tcPr>
            <w:tcW w:w="1025" w:type="dxa"/>
          </w:tcPr>
          <w:p w14:paraId="6DFC5BB3" w14:textId="77777777" w:rsidR="00063D15" w:rsidRDefault="00063D15" w:rsidP="00953E75">
            <w:pPr>
              <w:jc w:val="center"/>
            </w:pPr>
          </w:p>
        </w:tc>
        <w:tc>
          <w:tcPr>
            <w:tcW w:w="891" w:type="dxa"/>
          </w:tcPr>
          <w:p w14:paraId="0556CF0D" w14:textId="77777777" w:rsidR="00063D15" w:rsidRDefault="00063D15" w:rsidP="00953E75">
            <w:pPr>
              <w:jc w:val="center"/>
            </w:pPr>
          </w:p>
        </w:tc>
        <w:tc>
          <w:tcPr>
            <w:tcW w:w="1140" w:type="dxa"/>
          </w:tcPr>
          <w:p w14:paraId="6E51E449" w14:textId="77777777" w:rsidR="00063D15" w:rsidRDefault="00063D15" w:rsidP="00953E75">
            <w:pPr>
              <w:jc w:val="center"/>
            </w:pPr>
          </w:p>
        </w:tc>
        <w:tc>
          <w:tcPr>
            <w:tcW w:w="1249" w:type="dxa"/>
          </w:tcPr>
          <w:p w14:paraId="56AFB80F" w14:textId="77777777" w:rsidR="00063D15" w:rsidRDefault="00063D15" w:rsidP="00953E75">
            <w:pPr>
              <w:jc w:val="center"/>
            </w:pPr>
          </w:p>
        </w:tc>
        <w:tc>
          <w:tcPr>
            <w:tcW w:w="883" w:type="dxa"/>
          </w:tcPr>
          <w:p w14:paraId="2E34F4E3" w14:textId="77777777" w:rsidR="00063D15" w:rsidRDefault="00063D15" w:rsidP="00953E75">
            <w:pPr>
              <w:jc w:val="center"/>
            </w:pPr>
          </w:p>
        </w:tc>
        <w:tc>
          <w:tcPr>
            <w:tcW w:w="703" w:type="dxa"/>
          </w:tcPr>
          <w:p w14:paraId="40A36F59" w14:textId="77777777" w:rsidR="00063D15" w:rsidRDefault="00063D15" w:rsidP="00953E75">
            <w:pPr>
              <w:jc w:val="center"/>
            </w:pPr>
          </w:p>
        </w:tc>
        <w:tc>
          <w:tcPr>
            <w:tcW w:w="1199" w:type="dxa"/>
          </w:tcPr>
          <w:p w14:paraId="58F37CBA" w14:textId="77777777" w:rsidR="00063D15" w:rsidRDefault="00063D15" w:rsidP="00953E75">
            <w:pPr>
              <w:jc w:val="center"/>
            </w:pPr>
          </w:p>
        </w:tc>
        <w:tc>
          <w:tcPr>
            <w:tcW w:w="780" w:type="dxa"/>
          </w:tcPr>
          <w:p w14:paraId="1004CBC8" w14:textId="5E6A0C11" w:rsidR="00063D15" w:rsidRDefault="00A82823" w:rsidP="00953E75">
            <w:pPr>
              <w:jc w:val="center"/>
            </w:pPr>
            <w:r>
              <w:t>$100</w:t>
            </w:r>
          </w:p>
        </w:tc>
      </w:tr>
      <w:tr w:rsidR="00063D15" w14:paraId="506E5A9A" w14:textId="77777777" w:rsidTr="00063D15">
        <w:tc>
          <w:tcPr>
            <w:tcW w:w="1119" w:type="dxa"/>
          </w:tcPr>
          <w:p w14:paraId="1A60BFE4" w14:textId="77777777" w:rsidR="00063D15" w:rsidRDefault="00063D15" w:rsidP="005541EE"/>
        </w:tc>
        <w:tc>
          <w:tcPr>
            <w:tcW w:w="1025" w:type="dxa"/>
          </w:tcPr>
          <w:p w14:paraId="0CAE3ACA" w14:textId="77777777" w:rsidR="00063D15" w:rsidRDefault="00063D15" w:rsidP="00953E75">
            <w:pPr>
              <w:jc w:val="center"/>
            </w:pPr>
          </w:p>
        </w:tc>
        <w:tc>
          <w:tcPr>
            <w:tcW w:w="891" w:type="dxa"/>
          </w:tcPr>
          <w:p w14:paraId="13120A43" w14:textId="77777777" w:rsidR="00063D15" w:rsidRDefault="00063D15" w:rsidP="00953E75">
            <w:pPr>
              <w:jc w:val="center"/>
            </w:pPr>
          </w:p>
        </w:tc>
        <w:tc>
          <w:tcPr>
            <w:tcW w:w="1140" w:type="dxa"/>
          </w:tcPr>
          <w:p w14:paraId="36206CA1" w14:textId="77777777" w:rsidR="00063D15" w:rsidRDefault="00063D15" w:rsidP="00953E75">
            <w:pPr>
              <w:jc w:val="center"/>
            </w:pPr>
          </w:p>
        </w:tc>
        <w:tc>
          <w:tcPr>
            <w:tcW w:w="1249" w:type="dxa"/>
          </w:tcPr>
          <w:p w14:paraId="14F4307C" w14:textId="77777777" w:rsidR="00063D15" w:rsidRDefault="00063D15" w:rsidP="00953E75">
            <w:pPr>
              <w:jc w:val="center"/>
            </w:pPr>
          </w:p>
        </w:tc>
        <w:tc>
          <w:tcPr>
            <w:tcW w:w="883" w:type="dxa"/>
          </w:tcPr>
          <w:p w14:paraId="76F4D046" w14:textId="77777777" w:rsidR="00063D15" w:rsidRDefault="00063D15" w:rsidP="00953E75">
            <w:pPr>
              <w:jc w:val="center"/>
            </w:pPr>
          </w:p>
        </w:tc>
        <w:tc>
          <w:tcPr>
            <w:tcW w:w="703" w:type="dxa"/>
          </w:tcPr>
          <w:p w14:paraId="28E6F55B" w14:textId="77777777" w:rsidR="00063D15" w:rsidRDefault="00063D15" w:rsidP="00953E75">
            <w:pPr>
              <w:jc w:val="center"/>
            </w:pPr>
          </w:p>
        </w:tc>
        <w:tc>
          <w:tcPr>
            <w:tcW w:w="1199" w:type="dxa"/>
          </w:tcPr>
          <w:p w14:paraId="3F5F7B80" w14:textId="77777777" w:rsidR="00063D15" w:rsidRDefault="00063D15" w:rsidP="00953E75">
            <w:pPr>
              <w:jc w:val="center"/>
            </w:pPr>
          </w:p>
        </w:tc>
        <w:tc>
          <w:tcPr>
            <w:tcW w:w="780" w:type="dxa"/>
          </w:tcPr>
          <w:p w14:paraId="4D11B65D" w14:textId="77777777" w:rsidR="00063D15" w:rsidRDefault="00063D15" w:rsidP="00953E75">
            <w:pPr>
              <w:jc w:val="center"/>
            </w:pPr>
          </w:p>
        </w:tc>
      </w:tr>
    </w:tbl>
    <w:p w14:paraId="0B8EAEF5" w14:textId="77777777" w:rsidR="005541EE" w:rsidRDefault="005541EE" w:rsidP="005541EE">
      <w:pPr>
        <w:spacing w:after="0"/>
      </w:pPr>
    </w:p>
    <w:p w14:paraId="5360E3F4" w14:textId="77777777" w:rsidR="00324593" w:rsidRDefault="00324593" w:rsidP="00324593">
      <w:pPr>
        <w:spacing w:after="0"/>
      </w:pPr>
    </w:p>
    <w:p w14:paraId="1A7500D7" w14:textId="77777777" w:rsidR="00324593" w:rsidRDefault="00324593" w:rsidP="00324593">
      <w:pPr>
        <w:spacing w:after="0"/>
      </w:pPr>
    </w:p>
    <w:sectPr w:rsidR="0032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B3456"/>
    <w:multiLevelType w:val="hybridMultilevel"/>
    <w:tmpl w:val="27B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32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93"/>
    <w:rsid w:val="00063D15"/>
    <w:rsid w:val="00324593"/>
    <w:rsid w:val="004B3F73"/>
    <w:rsid w:val="005541EE"/>
    <w:rsid w:val="00953E75"/>
    <w:rsid w:val="00A8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14A8"/>
  <w15:chartTrackingRefBased/>
  <w15:docId w15:val="{8468D5B3-1EA3-4E30-A90F-D2ACEA66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4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45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45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45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45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45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45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45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5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45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45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45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45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45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45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45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4593"/>
    <w:rPr>
      <w:rFonts w:eastAsiaTheme="majorEastAsia" w:cstheme="majorBidi"/>
      <w:color w:val="272727" w:themeColor="text1" w:themeTint="D8"/>
    </w:rPr>
  </w:style>
  <w:style w:type="paragraph" w:styleId="Title">
    <w:name w:val="Title"/>
    <w:basedOn w:val="Normal"/>
    <w:next w:val="Normal"/>
    <w:link w:val="TitleChar"/>
    <w:uiPriority w:val="10"/>
    <w:qFormat/>
    <w:rsid w:val="00324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5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5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45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4593"/>
    <w:pPr>
      <w:spacing w:before="160"/>
      <w:jc w:val="center"/>
    </w:pPr>
    <w:rPr>
      <w:i/>
      <w:iCs/>
      <w:color w:val="404040" w:themeColor="text1" w:themeTint="BF"/>
    </w:rPr>
  </w:style>
  <w:style w:type="character" w:customStyle="1" w:styleId="QuoteChar">
    <w:name w:val="Quote Char"/>
    <w:basedOn w:val="DefaultParagraphFont"/>
    <w:link w:val="Quote"/>
    <w:uiPriority w:val="29"/>
    <w:rsid w:val="00324593"/>
    <w:rPr>
      <w:i/>
      <w:iCs/>
      <w:color w:val="404040" w:themeColor="text1" w:themeTint="BF"/>
    </w:rPr>
  </w:style>
  <w:style w:type="paragraph" w:styleId="ListParagraph">
    <w:name w:val="List Paragraph"/>
    <w:basedOn w:val="Normal"/>
    <w:uiPriority w:val="34"/>
    <w:qFormat/>
    <w:rsid w:val="00324593"/>
    <w:pPr>
      <w:ind w:left="720"/>
      <w:contextualSpacing/>
    </w:pPr>
  </w:style>
  <w:style w:type="character" w:styleId="IntenseEmphasis">
    <w:name w:val="Intense Emphasis"/>
    <w:basedOn w:val="DefaultParagraphFont"/>
    <w:uiPriority w:val="21"/>
    <w:qFormat/>
    <w:rsid w:val="00324593"/>
    <w:rPr>
      <w:i/>
      <w:iCs/>
      <w:color w:val="0F4761" w:themeColor="accent1" w:themeShade="BF"/>
    </w:rPr>
  </w:style>
  <w:style w:type="paragraph" w:styleId="IntenseQuote">
    <w:name w:val="Intense Quote"/>
    <w:basedOn w:val="Normal"/>
    <w:next w:val="Normal"/>
    <w:link w:val="IntenseQuoteChar"/>
    <w:uiPriority w:val="30"/>
    <w:qFormat/>
    <w:rsid w:val="00324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4593"/>
    <w:rPr>
      <w:i/>
      <w:iCs/>
      <w:color w:val="0F4761" w:themeColor="accent1" w:themeShade="BF"/>
    </w:rPr>
  </w:style>
  <w:style w:type="character" w:styleId="IntenseReference">
    <w:name w:val="Intense Reference"/>
    <w:basedOn w:val="DefaultParagraphFont"/>
    <w:uiPriority w:val="32"/>
    <w:qFormat/>
    <w:rsid w:val="00324593"/>
    <w:rPr>
      <w:b/>
      <w:bCs/>
      <w:smallCaps/>
      <w:color w:val="0F4761" w:themeColor="accent1" w:themeShade="BF"/>
      <w:spacing w:val="5"/>
    </w:rPr>
  </w:style>
  <w:style w:type="table" w:styleId="TableGrid">
    <w:name w:val="Table Grid"/>
    <w:basedOn w:val="TableNormal"/>
    <w:uiPriority w:val="39"/>
    <w:rsid w:val="005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Clavier</dc:creator>
  <cp:keywords/>
  <dc:description/>
  <cp:lastModifiedBy>Charlotte Clavier</cp:lastModifiedBy>
  <cp:revision>5</cp:revision>
  <dcterms:created xsi:type="dcterms:W3CDTF">2024-04-01T17:47:00Z</dcterms:created>
  <dcterms:modified xsi:type="dcterms:W3CDTF">2024-04-01T20:13:00Z</dcterms:modified>
</cp:coreProperties>
</file>